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AC" w:rsidRPr="006E30C5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center"/>
        <w:rPr>
          <w:b/>
          <w:color w:val="000000"/>
        </w:rPr>
      </w:pPr>
      <w:r w:rsidRPr="006E30C5">
        <w:rPr>
          <w:b/>
          <w:color w:val="000000"/>
        </w:rPr>
        <w:t>KIVONAT AZ ALAPÍTÓ OKIRATBÓL</w:t>
      </w:r>
    </w:p>
    <w:p w:rsidR="00AA23AC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D75C7F">
        <w:rPr>
          <w:b/>
          <w:color w:val="000000"/>
        </w:rPr>
        <w:t>1.  Az Alapítvány neve:</w:t>
      </w:r>
      <w:r w:rsidRPr="00D75C7F">
        <w:rPr>
          <w:color w:val="000000"/>
        </w:rPr>
        <w:t xml:space="preserve"> </w:t>
      </w:r>
      <w:r w:rsidRPr="00D75C7F">
        <w:rPr>
          <w:b/>
        </w:rPr>
        <w:t>Miszla Helytörténeti és Értékőrző Alapítvány</w:t>
      </w:r>
      <w:r w:rsidRPr="00D75C7F">
        <w:rPr>
          <w:color w:val="000000"/>
        </w:rPr>
        <w:t xml:space="preserve"> </w:t>
      </w:r>
      <w:r w:rsidRPr="00D75C7F">
        <w:rPr>
          <w:color w:val="000000"/>
        </w:rPr>
        <w:br/>
        <w:t>(továbbiakban: Alapítvány) </w:t>
      </w: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rPr>
          <w:b/>
        </w:rPr>
      </w:pPr>
      <w:r w:rsidRPr="00D75C7F">
        <w:rPr>
          <w:b/>
          <w:color w:val="000000"/>
        </w:rPr>
        <w:t>2.</w:t>
      </w:r>
      <w:r w:rsidRPr="00D75C7F">
        <w:rPr>
          <w:color w:val="000000"/>
        </w:rPr>
        <w:t>  </w:t>
      </w:r>
      <w:r w:rsidRPr="00D75C7F">
        <w:rPr>
          <w:b/>
          <w:color w:val="000000"/>
        </w:rPr>
        <w:t>Az Alapítvány székhelye:</w:t>
      </w:r>
      <w:r w:rsidRPr="00D75C7F">
        <w:rPr>
          <w:color w:val="000000"/>
        </w:rPr>
        <w:t xml:space="preserve"> </w:t>
      </w:r>
      <w:r w:rsidRPr="00D75C7F">
        <w:rPr>
          <w:b/>
        </w:rPr>
        <w:t>7065 Miszla, Kis u. 255.</w:t>
      </w: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rPr>
          <w:b/>
          <w:color w:val="000000"/>
        </w:rPr>
      </w:pPr>
      <w:r w:rsidRPr="00D75C7F">
        <w:rPr>
          <w:b/>
          <w:color w:val="000000"/>
        </w:rPr>
        <w:t>3.  Az Alapítvány határozatlan időre jön létre.</w:t>
      </w: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rPr>
          <w:b/>
          <w:color w:val="000000"/>
        </w:rPr>
      </w:pPr>
      <w:r w:rsidRPr="00D75C7F">
        <w:rPr>
          <w:b/>
          <w:color w:val="000000"/>
        </w:rPr>
        <w:t>4.  Az Alapítvány jogi személy.</w:t>
      </w: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rPr>
          <w:b/>
          <w:color w:val="000000"/>
        </w:rPr>
      </w:pPr>
      <w:r>
        <w:rPr>
          <w:b/>
          <w:color w:val="000000"/>
        </w:rPr>
        <w:t>5.  Az Alapítvány e-</w:t>
      </w:r>
      <w:r w:rsidRPr="00D75C7F">
        <w:rPr>
          <w:b/>
          <w:color w:val="000000"/>
        </w:rPr>
        <w:t>mail címe: nagyine13@gmail.com</w:t>
      </w: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rPr>
          <w:b/>
          <w:color w:val="000000"/>
        </w:rPr>
      </w:pPr>
      <w:r w:rsidRPr="00D75C7F">
        <w:rPr>
          <w:b/>
          <w:color w:val="000000"/>
        </w:rPr>
        <w:t>6. Az Alapítvány célja:</w:t>
      </w: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D75C7F">
        <w:rPr>
          <w:color w:val="000000"/>
        </w:rPr>
        <w:t>A magyar falusi-paraszti kultúra építészeti, tárgyi, szellemi örökségének, hagyományainak megőrzése, ápolása, megelevenítése, megismertetése, átörökítése:</w:t>
      </w:r>
    </w:p>
    <w:p w:rsidR="00AA23AC" w:rsidRPr="00D75C7F" w:rsidRDefault="00AA23AC" w:rsidP="00AA23AC">
      <w:pPr>
        <w:pStyle w:val="NormlWeb"/>
        <w:numPr>
          <w:ilvl w:val="0"/>
          <w:numId w:val="1"/>
        </w:numPr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Pr="00D75C7F">
        <w:rPr>
          <w:color w:val="000000"/>
        </w:rPr>
        <w:t xml:space="preserve"> </w:t>
      </w:r>
      <w:proofErr w:type="spellStart"/>
      <w:r w:rsidRPr="00D75C7F">
        <w:rPr>
          <w:color w:val="000000"/>
        </w:rPr>
        <w:t>miszlai</w:t>
      </w:r>
      <w:proofErr w:type="spellEnd"/>
      <w:r w:rsidRPr="00D75C7F">
        <w:rPr>
          <w:color w:val="000000"/>
        </w:rPr>
        <w:t xml:space="preserve"> tájház létrehozása, a célnak megfelelő 100 éves parasztház </w:t>
      </w:r>
      <w:r>
        <w:rPr>
          <w:color w:val="000000"/>
        </w:rPr>
        <w:t>épület</w:t>
      </w:r>
      <w:r w:rsidRPr="00D75C7F">
        <w:rPr>
          <w:color w:val="000000"/>
        </w:rPr>
        <w:t xml:space="preserve">együttesének megmentése, helyreállítása, felújítása, működtetése. A tájház korhű berendezése, a már összegyűjtött tárgyi örökség (Borda József Helytörténeti Gyűjtemény) gondozása, folyamatos gazdagítása, </w:t>
      </w:r>
      <w:r>
        <w:rPr>
          <w:color w:val="000000"/>
        </w:rPr>
        <w:t xml:space="preserve">a </w:t>
      </w:r>
      <w:r w:rsidRPr="00D75C7F">
        <w:rPr>
          <w:color w:val="000000"/>
        </w:rPr>
        <w:t>tájházban való elhelyezése, mindazáltal élővé tétele, bemutatása. A tájház épületegyüttesének karbantartása, annak bővítésével élő közösségi színtér kialakítása. A tanórán kívüli tanulási-művelődési lehetőségek gazdagítása, az ifjúság bevonása a kulturális, hagyományápoló tevékenységbe, a falusi idegenforgalom fejlesztése.</w:t>
      </w: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D75C7F">
        <w:rPr>
          <w:color w:val="000000"/>
        </w:rPr>
        <w:t>A természeti környezet, a természeti értékek védelme,</w:t>
      </w:r>
      <w:r w:rsidRPr="00D75C7F">
        <w:t xml:space="preserve"> Miszla táji örökségének minél sokoldalúbb feltárása, bemutathatóvá, vonzóvá tétele, megismertetése, a település turisztikai szempontú népszerűsítése, a környezettudatos gondolkodásra nevelés, a természetkímélő turizmus támogatása.</w:t>
      </w:r>
    </w:p>
    <w:p w:rsidR="00AA23AC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D75C7F">
        <w:rPr>
          <w:color w:val="000000"/>
        </w:rPr>
        <w:t>A település helytörténeti értékeinek feltárása, közkinccsé tétele, a helytörténeti-néprajzi kutatómunka fellendítése, ösztönzése, támogatása, hagyatékok felkutatása, feltárása, bemutatása.</w:t>
      </w: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b/>
          <w:color w:val="000000"/>
        </w:rPr>
      </w:pPr>
      <w:r w:rsidRPr="00D75C7F">
        <w:rPr>
          <w:b/>
          <w:color w:val="000000"/>
        </w:rPr>
        <w:t>Az Alapítvány az ember és természet harmonikus kapcsolatának jegyében a múlt értékeinek feltárásával, közösségi eseményekkel és a természetvédelem ügyének felkarolásával egyszerre őrzi meg és ápolja Miszla kulturális örökségét, épít közösséget és menti át az élhető természeti környezetet.</w:t>
      </w:r>
    </w:p>
    <w:p w:rsidR="00AA23AC" w:rsidRPr="00D75C7F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b/>
          <w:color w:val="000000"/>
        </w:rPr>
      </w:pPr>
      <w:r w:rsidRPr="00D75C7F">
        <w:rPr>
          <w:b/>
          <w:color w:val="000000"/>
        </w:rPr>
        <w:t>7</w:t>
      </w:r>
      <w:r w:rsidRPr="00D75C7F">
        <w:rPr>
          <w:color w:val="000000"/>
        </w:rPr>
        <w:t>.  </w:t>
      </w:r>
      <w:r w:rsidRPr="00D75C7F">
        <w:rPr>
          <w:b/>
          <w:color w:val="000000"/>
        </w:rPr>
        <w:t>Az Alapítvány tevékenysége:</w:t>
      </w:r>
    </w:p>
    <w:p w:rsidR="00AA23AC" w:rsidRPr="00AA23AC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b/>
          <w:color w:val="000000"/>
        </w:rPr>
      </w:pPr>
      <w:r w:rsidRPr="001F5D23">
        <w:rPr>
          <w:b/>
          <w:color w:val="000000"/>
        </w:rPr>
        <w:t xml:space="preserve">Az Alapítvány működése során céljai megvalósítása érdekében kulturális, kutatási, természet-és környezetvédelmi tevékenységet </w:t>
      </w:r>
      <w:r w:rsidRPr="00AA23AC">
        <w:rPr>
          <w:b/>
          <w:color w:val="000000"/>
        </w:rPr>
        <w:t>végez.</w:t>
      </w:r>
    </w:p>
    <w:p w:rsidR="00AA23AC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b/>
        </w:rPr>
      </w:pPr>
      <w:r w:rsidRPr="00D75C7F">
        <w:rPr>
          <w:b/>
        </w:rPr>
        <w:t>7.1 Az Alapítvány</w:t>
      </w:r>
      <w:r w:rsidRPr="00D75C7F">
        <w:t xml:space="preserve"> </w:t>
      </w:r>
      <w:r w:rsidRPr="00D75C7F">
        <w:rPr>
          <w:b/>
        </w:rPr>
        <w:t>Közhasznú tevékenysége:</w:t>
      </w:r>
    </w:p>
    <w:p w:rsidR="00AA23AC" w:rsidRPr="00AA23AC" w:rsidRDefault="00AA23AC" w:rsidP="00AA23AC">
      <w:pPr>
        <w:pStyle w:val="NormlWeb"/>
        <w:shd w:val="clear" w:color="auto" w:fill="FFFFFF"/>
        <w:spacing w:before="150" w:beforeAutospacing="0" w:after="150" w:afterAutospacing="0" w:line="276" w:lineRule="auto"/>
        <w:jc w:val="both"/>
        <w:rPr>
          <w:b/>
        </w:rPr>
      </w:pPr>
      <w:r w:rsidRPr="00D75C7F">
        <w:lastRenderedPageBreak/>
        <w:t xml:space="preserve">Az Alapítvány a társadalom és az egyén közös érdekeinek kielégítésére az </w:t>
      </w:r>
      <w:proofErr w:type="spellStart"/>
      <w:r w:rsidRPr="00D75C7F">
        <w:t>Ectv</w:t>
      </w:r>
      <w:proofErr w:type="spellEnd"/>
      <w:r w:rsidRPr="00D75C7F">
        <w:t xml:space="preserve">. 32. §- </w:t>
      </w:r>
      <w:proofErr w:type="spellStart"/>
      <w:r w:rsidRPr="00D75C7F">
        <w:t>ában</w:t>
      </w:r>
      <w:proofErr w:type="spellEnd"/>
      <w:r w:rsidRPr="00D75C7F">
        <w:t xml:space="preserve"> foglaltak alapján a kö</w:t>
      </w:r>
      <w:r>
        <w:t>vetkező közhasznú tevékenységeket látja el:</w:t>
      </w:r>
      <w:r>
        <w:br/>
      </w:r>
    </w:p>
    <w:p w:rsidR="00AA23AC" w:rsidRPr="0000421D" w:rsidRDefault="00AA23AC" w:rsidP="00AA23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C7F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D75C7F">
        <w:rPr>
          <w:rFonts w:ascii="Times New Roman" w:hAnsi="Times New Roman"/>
          <w:bCs/>
          <w:sz w:val="24"/>
          <w:szCs w:val="24"/>
        </w:rPr>
        <w:t>) Kulturális tevékenység, kulturális örökség megóvása és közművelődési tevékenység (2011. évi CLXXXIX. tv. Magyarország helyi önkormányzatairól szóló törvény 13.§. (1) 7. pontja alapján)</w:t>
      </w:r>
    </w:p>
    <w:p w:rsidR="00AA23AC" w:rsidRPr="00D75C7F" w:rsidRDefault="00AA23AC" w:rsidP="00AA23A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5C7F">
        <w:rPr>
          <w:rFonts w:ascii="Times New Roman" w:hAnsi="Times New Roman"/>
          <w:sz w:val="24"/>
          <w:szCs w:val="24"/>
        </w:rPr>
        <w:t>b) Tudományos tevékenység, kutatás (2004. évi CXXXIV. törvény a kutatásfejlesztésről és a technológiai innovációról szóló törvény 5.§. (3) bekezdése alapján)</w:t>
      </w:r>
    </w:p>
    <w:p w:rsidR="00AA23AC" w:rsidRPr="00D75C7F" w:rsidRDefault="00AA23AC" w:rsidP="00AA23AC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D75C7F">
        <w:rPr>
          <w:rFonts w:ascii="Times New Roman" w:hAnsi="Times New Roman"/>
          <w:sz w:val="24"/>
          <w:szCs w:val="24"/>
        </w:rPr>
        <w:t xml:space="preserve">c) Nevelés és oktatás, képességfejlesztés, ismeretterjesztés </w:t>
      </w:r>
      <w:r w:rsidRPr="00D75C7F">
        <w:rPr>
          <w:rFonts w:ascii="Times New Roman" w:hAnsi="Times New Roman"/>
          <w:bCs/>
          <w:sz w:val="24"/>
          <w:szCs w:val="24"/>
        </w:rPr>
        <w:t xml:space="preserve">(2011. CXC. a nemzeti köznevelésről 2. §.- </w:t>
      </w:r>
      <w:proofErr w:type="gramStart"/>
      <w:r w:rsidRPr="00D75C7F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D75C7F">
        <w:rPr>
          <w:rFonts w:ascii="Times New Roman" w:hAnsi="Times New Roman"/>
          <w:bCs/>
          <w:sz w:val="24"/>
          <w:szCs w:val="24"/>
        </w:rPr>
        <w:t xml:space="preserve"> és az 1997.évi CXL. tv. </w:t>
      </w:r>
      <w:proofErr w:type="gramStart"/>
      <w:r w:rsidRPr="00D75C7F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D75C7F">
        <w:rPr>
          <w:rFonts w:ascii="Times New Roman" w:hAnsi="Times New Roman"/>
          <w:bCs/>
          <w:sz w:val="24"/>
          <w:szCs w:val="24"/>
        </w:rPr>
        <w:t xml:space="preserve"> muzeális intézményekről, a nyilvános könyvtári ellátásról és a közművelődésről</w:t>
      </w:r>
      <w:r w:rsidRPr="00D75C7F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D75C7F">
        <w:rPr>
          <w:rFonts w:ascii="Times New Roman" w:hAnsi="Times New Roman"/>
          <w:bCs/>
          <w:sz w:val="24"/>
          <w:szCs w:val="24"/>
        </w:rPr>
        <w:t xml:space="preserve">76.§. (1) (2) a. </w:t>
      </w:r>
      <w:proofErr w:type="gramStart"/>
      <w:r w:rsidRPr="00D75C7F">
        <w:rPr>
          <w:rFonts w:ascii="Times New Roman" w:hAnsi="Times New Roman"/>
          <w:bCs/>
          <w:sz w:val="24"/>
          <w:szCs w:val="24"/>
        </w:rPr>
        <w:t>pontja</w:t>
      </w:r>
      <w:proofErr w:type="gramEnd"/>
      <w:r w:rsidRPr="00D75C7F">
        <w:rPr>
          <w:rFonts w:ascii="Times New Roman" w:hAnsi="Times New Roman"/>
          <w:bCs/>
          <w:sz w:val="24"/>
          <w:szCs w:val="24"/>
        </w:rPr>
        <w:t xml:space="preserve"> alapján) </w:t>
      </w:r>
      <w:r w:rsidRPr="00D75C7F">
        <w:rPr>
          <w:b/>
          <w:sz w:val="24"/>
          <w:szCs w:val="24"/>
        </w:rPr>
        <w:t xml:space="preserve"> </w:t>
      </w:r>
    </w:p>
    <w:p w:rsidR="00AA23AC" w:rsidRPr="00D75C7F" w:rsidRDefault="00AA23AC" w:rsidP="00AA23AC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C7F">
        <w:rPr>
          <w:rFonts w:ascii="Times New Roman" w:hAnsi="Times New Roman"/>
          <w:sz w:val="24"/>
          <w:szCs w:val="24"/>
        </w:rPr>
        <w:t>d) Természetvédelem, állatvédelem (</w:t>
      </w:r>
      <w:r w:rsidRPr="00D75C7F">
        <w:rPr>
          <w:rFonts w:ascii="Times New Roman" w:hAnsi="Times New Roman"/>
          <w:bCs/>
          <w:sz w:val="24"/>
          <w:szCs w:val="24"/>
        </w:rPr>
        <w:t>2011. évi CLXXXIX. tv. Magyarország helyi önkormányzatairól szóló törvény 13.§. (1) 11. pontja alapján)</w:t>
      </w:r>
    </w:p>
    <w:p w:rsidR="00D6154E" w:rsidRPr="00AA23AC" w:rsidRDefault="00D6154E" w:rsidP="00AA23AC"/>
    <w:sectPr w:rsidR="00D6154E" w:rsidRPr="00AA23AC" w:rsidSect="00D6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11B8"/>
    <w:multiLevelType w:val="hybridMultilevel"/>
    <w:tmpl w:val="8146E8BA"/>
    <w:lvl w:ilvl="0" w:tplc="65E8122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3AC"/>
    <w:rsid w:val="006E30C5"/>
    <w:rsid w:val="00AA23AC"/>
    <w:rsid w:val="00D6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54E"/>
  </w:style>
  <w:style w:type="paragraph" w:styleId="Cmsor3">
    <w:name w:val="heading 3"/>
    <w:basedOn w:val="Norml"/>
    <w:link w:val="Cmsor3Char"/>
    <w:uiPriority w:val="9"/>
    <w:qFormat/>
    <w:rsid w:val="00AA2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A23A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AA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2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2019-02-10T14:45:00Z</dcterms:created>
  <dcterms:modified xsi:type="dcterms:W3CDTF">2019-02-10T14:56:00Z</dcterms:modified>
</cp:coreProperties>
</file>